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0D8" w:rsidRPr="004A50D8" w:rsidRDefault="004A50D8" w:rsidP="004A5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4A50D8" w:rsidRPr="004A50D8" w:rsidRDefault="004A50D8" w:rsidP="004A50D8">
      <w:pPr>
        <w:keepNext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i/>
          <w:kern w:val="32"/>
          <w:sz w:val="20"/>
          <w:szCs w:val="20"/>
          <w:lang w:val="x-none" w:eastAsia="x-none"/>
        </w:rPr>
      </w:pPr>
      <w:r w:rsidRPr="004A50D8">
        <w:rPr>
          <w:rFonts w:ascii="Times New Roman" w:eastAsia="Times New Roman" w:hAnsi="Times New Roman" w:cs="Times New Roman"/>
          <w:bCs/>
          <w:i/>
          <w:kern w:val="32"/>
          <w:sz w:val="20"/>
          <w:szCs w:val="20"/>
          <w:lang w:eastAsia="x-none"/>
        </w:rPr>
        <w:t>Д</w:t>
      </w:r>
      <w:r w:rsidRPr="004A50D8">
        <w:rPr>
          <w:rFonts w:ascii="Times New Roman" w:eastAsia="Times New Roman" w:hAnsi="Times New Roman" w:cs="Times New Roman"/>
          <w:bCs/>
          <w:i/>
          <w:kern w:val="32"/>
          <w:sz w:val="20"/>
          <w:szCs w:val="20"/>
          <w:lang w:val="x-none" w:eastAsia="x-none"/>
        </w:rPr>
        <w:t xml:space="preserve">ля юридических и физических лиц, в том числе индивидуальных предпринимателей, в целях технологического присоединения </w:t>
      </w:r>
      <w:r w:rsidRPr="004A50D8">
        <w:rPr>
          <w:rFonts w:ascii="Times New Roman" w:eastAsia="Times New Roman" w:hAnsi="Times New Roman" w:cs="Times New Roman"/>
          <w:bCs/>
          <w:i/>
          <w:kern w:val="32"/>
          <w:sz w:val="20"/>
          <w:szCs w:val="20"/>
          <w:lang w:eastAsia="x-none"/>
        </w:rPr>
        <w:t>объектов по производству электрической энергии</w:t>
      </w:r>
      <w:r w:rsidRPr="004A50D8">
        <w:rPr>
          <w:rFonts w:ascii="Times New Roman" w:eastAsia="Times New Roman" w:hAnsi="Times New Roman" w:cs="Times New Roman"/>
          <w:bCs/>
          <w:i/>
          <w:kern w:val="32"/>
          <w:sz w:val="20"/>
          <w:szCs w:val="20"/>
          <w:lang w:val="x-none" w:eastAsia="x-none"/>
        </w:rPr>
        <w:t xml:space="preserve">, максимальной </w:t>
      </w:r>
      <w:r w:rsidRPr="004A50D8">
        <w:rPr>
          <w:rFonts w:ascii="Times New Roman" w:eastAsia="Times New Roman" w:hAnsi="Times New Roman" w:cs="Times New Roman"/>
          <w:bCs/>
          <w:i/>
          <w:kern w:val="32"/>
          <w:sz w:val="20"/>
          <w:szCs w:val="20"/>
          <w:lang w:eastAsia="x-none"/>
        </w:rPr>
        <w:t xml:space="preserve">генерирующая </w:t>
      </w:r>
      <w:r w:rsidRPr="004A50D8">
        <w:rPr>
          <w:rFonts w:ascii="Times New Roman" w:eastAsia="Times New Roman" w:hAnsi="Times New Roman" w:cs="Times New Roman"/>
          <w:bCs/>
          <w:i/>
          <w:kern w:val="32"/>
          <w:sz w:val="20"/>
          <w:szCs w:val="20"/>
          <w:lang w:val="x-none" w:eastAsia="x-none"/>
        </w:rPr>
        <w:t>мощностью</w:t>
      </w:r>
      <w:r w:rsidRPr="004A50D8">
        <w:rPr>
          <w:rFonts w:ascii="Times New Roman" w:eastAsia="Times New Roman" w:hAnsi="Times New Roman" w:cs="Times New Roman"/>
          <w:bCs/>
          <w:i/>
          <w:kern w:val="32"/>
          <w:sz w:val="20"/>
          <w:szCs w:val="20"/>
          <w:lang w:eastAsia="x-none"/>
        </w:rPr>
        <w:t xml:space="preserve"> которых</w:t>
      </w:r>
      <w:r w:rsidRPr="004A50D8">
        <w:rPr>
          <w:rFonts w:ascii="Times New Roman" w:eastAsia="Times New Roman" w:hAnsi="Times New Roman" w:cs="Times New Roman"/>
          <w:bCs/>
          <w:i/>
          <w:kern w:val="32"/>
          <w:sz w:val="20"/>
          <w:szCs w:val="20"/>
          <w:lang w:val="x-none" w:eastAsia="x-none"/>
        </w:rPr>
        <w:t xml:space="preserve"> </w:t>
      </w:r>
      <w:r w:rsidRPr="004A50D8">
        <w:rPr>
          <w:rFonts w:ascii="Times New Roman" w:eastAsia="Times New Roman" w:hAnsi="Times New Roman" w:cs="Times New Roman"/>
          <w:bCs/>
          <w:i/>
          <w:kern w:val="32"/>
          <w:sz w:val="20"/>
          <w:szCs w:val="20"/>
          <w:lang w:eastAsia="x-none"/>
        </w:rPr>
        <w:t xml:space="preserve">не превышает 5 МВт или увеличивается менее чем на 5 МВт 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___ к договору 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осуществлении технологического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присоединения к электрическим сетям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 20___ № _____________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  <w:r w:rsidRPr="004A50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 20___ № _____________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 УСЛОВИЯ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присоединения к электрическим сетям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0D8" w:rsidRPr="004A50D8" w:rsidRDefault="004A50D8" w:rsidP="004A5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_______________</w:t>
      </w:r>
      <w:r w:rsidRPr="004A50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</w:t>
      </w:r>
      <w:r w:rsidRPr="004A50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proofErr w:type="gramEnd"/>
      <w:r w:rsidRPr="004A50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</w:t>
      </w: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» _________ 20___ г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A50D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сетевой организации, выдавшей технические условия)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A50D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(полное наименование организации - для юридического лица;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A50D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фамилия, имя, отчество - для индивидуального предпринимателя и физического лица)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Наименование объекта по производству электрической энергии (далее – электроустановка) Заявителя: 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Наименование и место нахождения объекта по производству электрической энергии Заявителя: 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3. Характеристика работы объекта по производству электрической энергии: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Courier New"/>
          <w:sz w:val="24"/>
          <w:szCs w:val="24"/>
          <w:lang w:eastAsia="ru-RU"/>
        </w:rPr>
        <w:t>3.1 максимальная генерируемая мощность в нормальном режиме</w:t>
      </w:r>
      <w:r w:rsidRPr="004A50D8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 (выдаваемая в электрическую сеть Сетевой </w:t>
      </w:r>
      <w:proofErr w:type="gramStart"/>
      <w:r w:rsidRPr="004A50D8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организации)_</w:t>
      </w:r>
      <w:proofErr w:type="gramEnd"/>
      <w:r w:rsidRPr="004A50D8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__ кВт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 1 (первом) этапе – __</w:t>
      </w: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т, на 2 (втором) этапе – _</w:t>
      </w: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кВт)</w:t>
      </w:r>
      <w:r w:rsidRPr="004A50D8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;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3.2 </w:t>
      </w:r>
      <w:r w:rsidRPr="004A50D8">
        <w:rPr>
          <w:rFonts w:ascii="Times New Roman" w:eastAsia="Times New Roman" w:hAnsi="Times New Roman" w:cs="Courier New"/>
          <w:sz w:val="24"/>
          <w:szCs w:val="24"/>
          <w:lang w:eastAsia="ru-RU"/>
        </w:rPr>
        <w:t>максимальная генерируемая мощность в аварийном режиме</w:t>
      </w:r>
      <w:r w:rsidRPr="004A50D8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 ___ кВт;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3.3 величина технологического минимума ____ кВт.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4. Характеристики присоединяемых генераторов: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 </w:t>
      </w:r>
      <w:r w:rsidRPr="004A50D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U</w:t>
      </w:r>
      <w:r w:rsidRPr="004A50D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ген</w:t>
      </w:r>
      <w:r w:rsidRPr="004A50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/</w:t>
      </w:r>
      <w:r w:rsidRPr="004A50D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U</w:t>
      </w:r>
      <w:r w:rsidRPr="004A50D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сети</w:t>
      </w:r>
      <w:r w:rsidRPr="004A50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</w:t>
      </w:r>
      <w:proofErr w:type="spellStart"/>
      <w:r w:rsidRPr="004A50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кВ</w:t>
      </w:r>
      <w:proofErr w:type="spellEnd"/>
      <w:r w:rsidRPr="004A50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)____ /____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4.2 Количество присоединяемых генераторов____ шт.;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4.3 Единичная мощность генераторов ____ кВт;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4.4 Тип привода 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4.5 Система возбуждения 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4.6 Скорость набора/сброса нагрузки (кВт/мин.)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4.7 Перегрузочная способность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Присоединяемая мощность силовых трансформаторов (ранее присоединенная/вновь присоединяемая), </w:t>
      </w:r>
      <w:proofErr w:type="spellStart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</w:t>
      </w:r>
      <w:proofErr w:type="spellEnd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_____/_____ (на 1 (первом) этапе – _____/_____, на 2 (втором) этапе – _____/_____).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Максимальная мощность, разрешенная к потреблению от энергосистемы в аварийном режиме, кВт: __ (на 1 (первом) этапе – ____ кВт, на 2 (втором) этапе – ____ кВт).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Категория надежности </w:t>
      </w:r>
      <w:proofErr w:type="spellStart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обеспечиваемая от энергосистемы: ________ (на 1 (первом) этапе – ______, на 2 (втором) этапе – _______).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Объем аварийной и технологической брони от энергосис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темы: ______________________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Класс напряжения электрических сетей, к которым осуществляется технологическое присоединение __ </w:t>
      </w:r>
      <w:proofErr w:type="spellStart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1 (первом) этапе – _____</w:t>
      </w:r>
      <w:proofErr w:type="spellStart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2 (втором) этапе – _____</w:t>
      </w:r>
      <w:proofErr w:type="spellStart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 Год ввода в эксплуатацию электроустановок Заявителя</w:t>
      </w:r>
      <w:r w:rsidRPr="004A50D8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</w:t>
      </w: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(н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1 (первом) этапе – _______</w:t>
      </w: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 (втором) этапе – ____</w:t>
      </w: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__).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Точка (точки) присоединения (вводные распределительные устройства, линии электропередачи, базовые подстанции) и максимальная мощность электроустановки по каждой точке присоединения: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296"/>
        <w:gridCol w:w="1560"/>
        <w:gridCol w:w="1275"/>
        <w:gridCol w:w="1985"/>
        <w:gridCol w:w="1134"/>
      </w:tblGrid>
      <w:tr w:rsidR="004A50D8" w:rsidRPr="004A50D8" w:rsidTr="004A50D8">
        <w:trPr>
          <w:trHeight w:val="470"/>
        </w:trPr>
        <w:tc>
          <w:tcPr>
            <w:tcW w:w="993" w:type="dxa"/>
            <w:vAlign w:val="center"/>
          </w:tcPr>
          <w:p w:rsidR="004A50D8" w:rsidRPr="004A50D8" w:rsidRDefault="004A50D8" w:rsidP="004A50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A50D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№ точки присоединения</w:t>
            </w:r>
          </w:p>
        </w:tc>
        <w:tc>
          <w:tcPr>
            <w:tcW w:w="2296" w:type="dxa"/>
            <w:vAlign w:val="center"/>
          </w:tcPr>
          <w:p w:rsidR="004A50D8" w:rsidRPr="004A50D8" w:rsidRDefault="004A50D8" w:rsidP="004A50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A50D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Источник питания (наименование питающих линий)</w:t>
            </w:r>
          </w:p>
        </w:tc>
        <w:tc>
          <w:tcPr>
            <w:tcW w:w="1560" w:type="dxa"/>
            <w:vAlign w:val="center"/>
          </w:tcPr>
          <w:p w:rsidR="004A50D8" w:rsidRPr="004A50D8" w:rsidRDefault="004A50D8" w:rsidP="004A50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A50D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Описание точки присоединения</w:t>
            </w:r>
          </w:p>
        </w:tc>
        <w:tc>
          <w:tcPr>
            <w:tcW w:w="1275" w:type="dxa"/>
            <w:vAlign w:val="center"/>
          </w:tcPr>
          <w:p w:rsidR="004A50D8" w:rsidRPr="004A50D8" w:rsidRDefault="004A50D8" w:rsidP="004A50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A50D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Категория надежности</w:t>
            </w:r>
          </w:p>
        </w:tc>
        <w:tc>
          <w:tcPr>
            <w:tcW w:w="1985" w:type="dxa"/>
            <w:vAlign w:val="center"/>
          </w:tcPr>
          <w:p w:rsidR="004A50D8" w:rsidRPr="004A50D8" w:rsidRDefault="004A50D8" w:rsidP="004A50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A50D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Максимальная мощность (кВт) (выдача в сеть/прием из сети)</w:t>
            </w:r>
          </w:p>
        </w:tc>
        <w:tc>
          <w:tcPr>
            <w:tcW w:w="1134" w:type="dxa"/>
            <w:vAlign w:val="center"/>
          </w:tcPr>
          <w:p w:rsidR="004A50D8" w:rsidRPr="004A50D8" w:rsidRDefault="004A50D8" w:rsidP="004A50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A50D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 питания</w:t>
            </w:r>
          </w:p>
          <w:p w:rsidR="004A50D8" w:rsidRPr="004A50D8" w:rsidRDefault="004A50D8" w:rsidP="004A50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A50D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(основное, резервное)</w:t>
            </w:r>
          </w:p>
        </w:tc>
      </w:tr>
      <w:tr w:rsidR="004A50D8" w:rsidRPr="004A50D8" w:rsidTr="004A50D8">
        <w:trPr>
          <w:trHeight w:val="307"/>
        </w:trPr>
        <w:tc>
          <w:tcPr>
            <w:tcW w:w="9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D8" w:rsidRPr="004A50D8" w:rsidRDefault="004A50D8" w:rsidP="004A50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50D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 этап</w:t>
            </w:r>
          </w:p>
        </w:tc>
      </w:tr>
      <w:tr w:rsidR="004A50D8" w:rsidRPr="004A50D8" w:rsidTr="004A50D8">
        <w:trPr>
          <w:trHeight w:val="3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D8" w:rsidRPr="004A50D8" w:rsidRDefault="004A50D8" w:rsidP="004A50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8" w:rsidRPr="004A50D8" w:rsidRDefault="004A50D8" w:rsidP="004A50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8" w:rsidRPr="004A50D8" w:rsidRDefault="004A50D8" w:rsidP="004A50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8" w:rsidRPr="004A50D8" w:rsidRDefault="004A50D8" w:rsidP="004A50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0D8" w:rsidRPr="004A50D8" w:rsidRDefault="004A50D8" w:rsidP="004A50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8" w:rsidRPr="004A50D8" w:rsidRDefault="004A50D8" w:rsidP="004A50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50D8" w:rsidRPr="004A50D8" w:rsidTr="004A50D8">
        <w:trPr>
          <w:trHeight w:val="3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D8" w:rsidRPr="004A50D8" w:rsidRDefault="004A50D8" w:rsidP="004A50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8" w:rsidRPr="004A50D8" w:rsidRDefault="004A50D8" w:rsidP="004A50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8" w:rsidRPr="004A50D8" w:rsidRDefault="004A50D8" w:rsidP="004A50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8" w:rsidRPr="004A50D8" w:rsidRDefault="004A50D8" w:rsidP="004A50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0D8" w:rsidRPr="004A50D8" w:rsidRDefault="004A50D8" w:rsidP="004A50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8" w:rsidRPr="004A50D8" w:rsidRDefault="004A50D8" w:rsidP="004A50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50D8" w:rsidRPr="004A50D8" w:rsidTr="004A50D8">
        <w:trPr>
          <w:trHeight w:val="307"/>
        </w:trPr>
        <w:tc>
          <w:tcPr>
            <w:tcW w:w="9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D8" w:rsidRPr="004A50D8" w:rsidRDefault="004A50D8" w:rsidP="004A50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50D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2 этап</w:t>
            </w:r>
          </w:p>
        </w:tc>
      </w:tr>
      <w:tr w:rsidR="004A50D8" w:rsidRPr="004A50D8" w:rsidTr="004A50D8">
        <w:trPr>
          <w:trHeight w:val="3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D8" w:rsidRPr="004A50D8" w:rsidRDefault="004A50D8" w:rsidP="004A50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8" w:rsidRPr="004A50D8" w:rsidRDefault="004A50D8" w:rsidP="004A50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8" w:rsidRPr="004A50D8" w:rsidRDefault="004A50D8" w:rsidP="004A50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8" w:rsidRPr="004A50D8" w:rsidRDefault="004A50D8" w:rsidP="004A50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0D8" w:rsidRPr="004A50D8" w:rsidRDefault="004A50D8" w:rsidP="004A50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8" w:rsidRPr="004A50D8" w:rsidRDefault="004A50D8" w:rsidP="004A50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50D8" w:rsidRPr="004A50D8" w:rsidTr="004A50D8">
        <w:trPr>
          <w:trHeight w:val="3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D8" w:rsidRPr="004A50D8" w:rsidRDefault="004A50D8" w:rsidP="004A50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8" w:rsidRPr="004A50D8" w:rsidRDefault="004A50D8" w:rsidP="004A50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8" w:rsidRPr="004A50D8" w:rsidRDefault="004A50D8" w:rsidP="004A50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8" w:rsidRPr="004A50D8" w:rsidRDefault="004A50D8" w:rsidP="004A50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A50D8" w:rsidRPr="004A50D8" w:rsidRDefault="004A50D8" w:rsidP="004A50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8" w:rsidRPr="004A50D8" w:rsidRDefault="004A50D8" w:rsidP="004A50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Pr="004A50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Сетевая организация осуществляет</w:t>
      </w: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Требования к электрической сети.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12.1.1. Развитие существующих объектов Сетевой организа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ции: _______________________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12.1.2. Новое строительство: 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Требования к устройствам релейной защиты и автоматики (включая противоаварийную и режимную автоматику):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12.2.1. Развитие существующих объектов Сетевой организа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ции: _______________________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12.2.2. Новое строительство: 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12.2.3. Разработать проект реконструкции или изменения параметров настройки устройств РЗА в прилегающей сети в связи с подключением к ней нового оборудования подстанций, ЛЭП.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12.2.4. На присоединениях новых ЛЭП и оборудовании подстанций применить цифровые устройства РЗА.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12.2.5. Обеспечить интеграцию применяемых устройств РЗА в систему АСУ ТП ПС, ОИК производственного отделения «______» «_____» филиала ПАО «МРСК Северо-Запада» с организацией удалённых АРМ.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12.2.6. Устройства РЗА должны обеспечивать свою работу при частоте 45,0 – 55,0 Гц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Требования по учету электрической энергии, организации системы АИИСКУЭ и устройствам, обеспечивающим контроль величины максимальной мощности.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12.3.1. Развитие существующих объектов Сетевой организации: 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12.3.2. Новое строительство: 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4A50D8" w:rsidRPr="004A50D8" w:rsidRDefault="004A50D8" w:rsidP="004A5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12.3.3. Учет электроэнергии по присоединяемым ЛЭП___ </w:t>
      </w:r>
      <w:proofErr w:type="spellStart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ПС____ выполнить:</w:t>
      </w:r>
    </w:p>
    <w:p w:rsidR="004A50D8" w:rsidRPr="004A50D8" w:rsidRDefault="004A50D8" w:rsidP="004A50D8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Типовой инструкции по учету электроэнергии при ее производстве, передаче и распределении (РД 34.09.101-94);</w:t>
      </w:r>
    </w:p>
    <w:p w:rsidR="004A50D8" w:rsidRPr="004A50D8" w:rsidRDefault="004A50D8" w:rsidP="004A50D8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Основными положениями функционирования розничных рынков электрической энергии, утвержденными постановлением Правительства РФ от 04.05.2012 №442;</w:t>
      </w:r>
    </w:p>
    <w:p w:rsidR="004A50D8" w:rsidRPr="004A50D8" w:rsidRDefault="004A50D8" w:rsidP="004A50D8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Постановления Правительства Российской Федерации от 19.06.2020 №890 «О порядке предоставления доступа к минимальному набору функций интеллектуальных систем учета электрической энергии (мощности)»;</w:t>
      </w:r>
    </w:p>
    <w:p w:rsidR="004A50D8" w:rsidRPr="004A50D8" w:rsidRDefault="004A50D8" w:rsidP="004A50D8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Точки учета электроэнергии определить: 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4A50D8" w:rsidRPr="004A50D8" w:rsidRDefault="004A50D8" w:rsidP="004A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12.3.4. Интегрировать автоматизированную информационно-измерительную систему коммерческого учета электроэнергии (АИИС КУЭ) на ПС_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 по присоединениям _____, в АИИС КУЭ ___</w:t>
      </w: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ПАО «МРСК Северо-Запада» и филиала ПАО «ФСК ЕЭС» МЭС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необходимости), предусмотрев требования по 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ассу качества не ниже ______</w:t>
      </w: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50D8" w:rsidRPr="004A50D8" w:rsidRDefault="004A50D8" w:rsidP="004A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12.3.5. Предусмотреть организацию ежедневной передачи результатов измерения, информации о состоянии средств измерения и объектов измерения из АИИС КУЭ ПС ____ в ЦУС ___ по всем точкам учета.</w:t>
      </w:r>
    </w:p>
    <w:p w:rsidR="004A50D8" w:rsidRPr="004A50D8" w:rsidRDefault="004A50D8" w:rsidP="004A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12.4. Требования к средствам диспетчерского и технологического управления (СДТУ).</w:t>
      </w:r>
    </w:p>
    <w:p w:rsidR="004A50D8" w:rsidRPr="004A50D8" w:rsidRDefault="004A50D8" w:rsidP="004A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12.4.1. Развитие существующих объектов Сетевой организа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ции: _______________________</w:t>
      </w:r>
    </w:p>
    <w:p w:rsidR="004A50D8" w:rsidRPr="004A50D8" w:rsidRDefault="004A50D8" w:rsidP="004A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12.4.2. Новое строительство: 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4A50D8" w:rsidRPr="004A50D8" w:rsidRDefault="004A50D8" w:rsidP="004A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12.5. Иные мероприятия по присоединению новой мощности (в том числе для организации временного энергоснабжения)</w:t>
      </w:r>
    </w:p>
    <w:p w:rsidR="004A50D8" w:rsidRPr="004A50D8" w:rsidRDefault="004A50D8" w:rsidP="004A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12.6. Предусмотреть в проекте Сетевой компании: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4A50D8" w:rsidRPr="004A50D8" w:rsidRDefault="004A50D8" w:rsidP="004A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Pr="004A50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 осуществляет:</w:t>
      </w:r>
    </w:p>
    <w:p w:rsidR="004A50D8" w:rsidRPr="004A50D8" w:rsidRDefault="004A50D8" w:rsidP="004A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Мероприятия по организации схемы выдачи мощности: __________________________</w:t>
      </w:r>
    </w:p>
    <w:p w:rsidR="004A50D8" w:rsidRPr="004A50D8" w:rsidRDefault="004A50D8" w:rsidP="004A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13.2. Требования к устройствам релейной защиты и автоматики: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4A50D8" w:rsidRPr="004A50D8" w:rsidRDefault="004A50D8" w:rsidP="004A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13.2.1. Применить цифровые устройства РЗА. Выполнить схемы организации РЗА, провести выбор необходимых защит и выполнить расчет параметров настройки устройств.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13.2.2. Предусмотреть устройства автоматического отключения приёмников электроэнергии (не ниже уровня аварийной или технологической брони) при снижении частоты или напряжения в прилегающей электрической сети, а также, по командам устройств противоаварийной автоматики.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Контроль и поддержание качества электроэнергии. Требования по компенсации реактивной мощности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13.3.1. Обеспечить на границе балансовой принадлежности предельное значение коэффициента реактивной мощности не более, чем установлено приказом Минэнерго РФ от 23.06.2015 № 380.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13.3.2. Уточнить проектом контрольные точки, в которых при наличии претензий какой-либо из сторон договора будет проводиться проверка соблюдения установленных требований к качеству электроэнергии (ГОСТ 33073-2014).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13.3.3. Определить проектом допустимые отклонения напряжения в контрольных точках с учетом потерь напряжения в собственных сетях Заявителя в режимах максимальных и минимальных нагрузок.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13.3.4. При установке </w:t>
      </w:r>
      <w:proofErr w:type="spellStart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электроприемников</w:t>
      </w:r>
      <w:proofErr w:type="spellEnd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будут ухудшать качество электрической энергии на границе балансовой принадлежности (например, </w:t>
      </w:r>
      <w:proofErr w:type="spellStart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электроприемники</w:t>
      </w:r>
      <w:proofErr w:type="spellEnd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имеющие </w:t>
      </w:r>
      <w:proofErr w:type="spellStart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резкопеременную</w:t>
      </w:r>
      <w:proofErr w:type="spellEnd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несимметричную нагрузку, или нагрузку, которая будет служить источником высших гармоник) предусмотреть установку Заявителем устройств, компенсирующих вносимые искажения (конденсаторные батареи или реакторы с </w:t>
      </w:r>
      <w:proofErr w:type="spellStart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тиристорным</w:t>
      </w:r>
      <w:proofErr w:type="spellEnd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управлением, конденсаторные батареи с </w:t>
      </w:r>
      <w:proofErr w:type="spellStart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пофазным</w:t>
      </w:r>
      <w:proofErr w:type="spellEnd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управлением, фильтры высших гармоник).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13.3.5. При установке </w:t>
      </w:r>
      <w:proofErr w:type="spellStart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электроприемников</w:t>
      </w:r>
      <w:proofErr w:type="spellEnd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будут ухудшать качество электрической энергии, определить проектом периодичность контроля Заявителем качества электрической энергии в собственных сетях (ГОСТ 32144-2013).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13.4. Иные мероприятия для организации схемы выдачи мощности.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13.5. Указания к проектированию сети Заявителя.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13.5.1.</w:t>
      </w:r>
      <w:r w:rsidRPr="004A50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на проектирование сети Заявителя, типы применяемого оборудования и готовы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проект согласовать с «______</w:t>
      </w: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филиалом ПАО «МРСК Северо-Запада» и иными уполномоченными организациями на соответствующих стадиях инвестиционного процесса.</w:t>
      </w:r>
    </w:p>
    <w:p w:rsidR="004A50D8" w:rsidRPr="004A50D8" w:rsidRDefault="004A50D8" w:rsidP="004A5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13.5.2. При проектировании обеспечить выполнение </w:t>
      </w:r>
      <w:proofErr w:type="gramStart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proofErr w:type="gramEnd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действующих руководящих и нормативно-технических документов (ПТФ, ПУЭ, ПТЭ, ППБ, ПОТРМ, НТП и др.)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каждой точке присоединения Заявитель, исходя из заявленной мощности генерирующих установок, параметров сетей, сообщает Сетевой организации необходимые данные для выбора коммутационной аппаратуры и ее защитных характеристик.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13.5.3. Проект должен содержать разделы в соответствии с Положением о составе разделов проектной документации и требованиях к их содержанию, утвержденных Постановлением Правительства РФ №87 от 16.02.2008г.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13.5.4. Дополнительно проект должен содержать следующие разделы: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 электроснабжения объекта, в том числе: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13.5.4.1. Разработка схемы выдачи мощности. Выполнение расчетов нормальных, ремонтных и аварийных режимов. Определение в этих режимах </w:t>
      </w:r>
      <w:proofErr w:type="spellStart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перетоков</w:t>
      </w:r>
      <w:proofErr w:type="spellEnd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активной и реактивной мощности, проверка обеспечения необходимых уровней напряжения, компенсацию реактивной мощности.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13.5.4.2. Разработка перечня </w:t>
      </w:r>
      <w:proofErr w:type="spellStart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электроприемников</w:t>
      </w:r>
      <w:proofErr w:type="spellEnd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могут быть отключены устройствами противоаварийной и режимной автоматики.</w:t>
      </w:r>
    </w:p>
    <w:p w:rsidR="004A50D8" w:rsidRPr="004A50D8" w:rsidRDefault="004A50D8" w:rsidP="004A5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13.5.4.3. Пояснительную записку по системе РЗА, включающую:</w:t>
      </w:r>
    </w:p>
    <w:p w:rsidR="004A50D8" w:rsidRPr="004A50D8" w:rsidRDefault="004A50D8" w:rsidP="004A50D8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4A5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хемы распределения устройств РЗА по трансформаторам тока и напряжения</w:t>
      </w:r>
    </w:p>
    <w:p w:rsidR="004A50D8" w:rsidRPr="004A50D8" w:rsidRDefault="004A50D8" w:rsidP="004A50D8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обоснование выбора типов устройств РЗА.</w:t>
      </w:r>
    </w:p>
    <w:p w:rsidR="004A50D8" w:rsidRPr="004A50D8" w:rsidRDefault="004A50D8" w:rsidP="004A50D8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Расчеты и выбор всех </w:t>
      </w:r>
      <w:proofErr w:type="spellStart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уставок</w:t>
      </w:r>
      <w:proofErr w:type="spellEnd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РЗА.</w:t>
      </w:r>
    </w:p>
    <w:p w:rsidR="004A50D8" w:rsidRPr="004A50D8" w:rsidRDefault="004A50D8" w:rsidP="004A50D8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погрешностей измерительных трансформаторов, потерь во вторичных цепях ТН.</w:t>
      </w:r>
    </w:p>
    <w:p w:rsidR="004A50D8" w:rsidRPr="004A50D8" w:rsidRDefault="004A50D8" w:rsidP="004A50D8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параметров срабатывания защитных аппаратов цепей собственных нужд и оперативного тока.</w:t>
      </w:r>
    </w:p>
    <w:p w:rsidR="004A50D8" w:rsidRPr="004A50D8" w:rsidRDefault="004A50D8" w:rsidP="004A50D8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Функциональные схемы цифровых устройств РЗА с описанием их работы и параметрами настройки элементов.</w:t>
      </w:r>
    </w:p>
    <w:bookmarkEnd w:id="0"/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 электроэнергии, в том числе: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13.5.4.4. Обеспечить выполнение требований ГОСТ 32144-2013 «Нормы качества электрической энергии в системе электроснабжения общего назначения» в отношении </w:t>
      </w:r>
      <w:proofErr w:type="spellStart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электроприемников</w:t>
      </w:r>
      <w:proofErr w:type="spellEnd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установок Заявителя, требований стандарта качества электроэнергии (КЭ) в точках общего присоединения (ТОП). Проектная документация на присоединение потребителя к сети, представляемая на согласование «__________» филиалу ПАО «МРСК Северо-Запада», должна содержать раздел по качеству электроэнергии (КЭ) и перечень всех </w:t>
      </w:r>
      <w:proofErr w:type="spellStart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электроприемников</w:t>
      </w:r>
      <w:proofErr w:type="spellEnd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влияющих на КЭ,  с указанием их доли от расчетной максимальной нагрузки и обоснованиями, подтверждающими выполнение требований ГОСТ 32144-2013 по установившемуся отклонению напряжения в центре питания и на зажимах характерных </w:t>
      </w:r>
      <w:proofErr w:type="spellStart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электроприемников</w:t>
      </w:r>
      <w:proofErr w:type="spellEnd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потребителя и другим показателям.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13.5.4.5. При наличии у Заявителя </w:t>
      </w:r>
      <w:proofErr w:type="spellStart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электроприемников</w:t>
      </w:r>
      <w:proofErr w:type="spellEnd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влияющих на качество электроэнергии в ТОП, проектом разработать соответствующие мероприятия, обеспечивающие соответствие параметров КЭ требованиям ГОСТ 32144-2013. Для собственных </w:t>
      </w:r>
      <w:proofErr w:type="spellStart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электроприемников</w:t>
      </w:r>
      <w:proofErr w:type="spellEnd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требованиями к КЭ выше, чем установлено ГОСТ 32144-2013, при необходимости, должна быть организована защита с применением необходимых технических средств.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Получить от ПАО «МРСК Северо-Запада» акт о выполнении технических условий.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Фактическое присоединение объекта и фактическую подачу (прием) напряжения (мощности) выполнить после выдачи органом </w:t>
      </w:r>
      <w:proofErr w:type="spellStart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 допуска, готовности объекта к включению и предоставления копии допуска в Сетевую организацию.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16. Срок действия данных технических условий – ________ года со дня заключения договора об осуществлении технологического присоединения к электрическим сетям.</w:t>
      </w:r>
    </w:p>
    <w:p w:rsidR="004A50D8" w:rsidRPr="004A50D8" w:rsidRDefault="004A50D8" w:rsidP="004A50D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50D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(подпись)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50D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(должность, фамилия, имя, отчество лица, действующего от имени 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50D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сетевой организации)</w:t>
      </w:r>
    </w:p>
    <w:p w:rsidR="004A50D8" w:rsidRPr="004A50D8" w:rsidRDefault="004A50D8" w:rsidP="004A50D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D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 20__ г.</w:t>
      </w:r>
    </w:p>
    <w:p w:rsidR="00862261" w:rsidRDefault="00862261"/>
    <w:sectPr w:rsidR="00862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307" w:rsidRDefault="00B04307" w:rsidP="004A50D8">
      <w:pPr>
        <w:spacing w:after="0" w:line="240" w:lineRule="auto"/>
      </w:pPr>
      <w:r>
        <w:separator/>
      </w:r>
    </w:p>
  </w:endnote>
  <w:endnote w:type="continuationSeparator" w:id="0">
    <w:p w:rsidR="00B04307" w:rsidRDefault="00B04307" w:rsidP="004A5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307" w:rsidRDefault="00B04307" w:rsidP="004A50D8">
      <w:pPr>
        <w:spacing w:after="0" w:line="240" w:lineRule="auto"/>
      </w:pPr>
      <w:r>
        <w:separator/>
      </w:r>
    </w:p>
  </w:footnote>
  <w:footnote w:type="continuationSeparator" w:id="0">
    <w:p w:rsidR="00B04307" w:rsidRDefault="00B04307" w:rsidP="004A50D8">
      <w:pPr>
        <w:spacing w:after="0" w:line="240" w:lineRule="auto"/>
      </w:pPr>
      <w:r>
        <w:continuationSeparator/>
      </w:r>
    </w:p>
  </w:footnote>
  <w:footnote w:id="1">
    <w:p w:rsidR="004A50D8" w:rsidRPr="00457FAC" w:rsidRDefault="004A50D8" w:rsidP="004A50D8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Указывается наименование насел</w:t>
      </w:r>
      <w:r w:rsidRPr="004328F0">
        <w:rPr>
          <w:sz w:val="16"/>
          <w:szCs w:val="16"/>
        </w:rPr>
        <w:t xml:space="preserve"> </w:t>
      </w:r>
      <w:proofErr w:type="spellStart"/>
      <w:r w:rsidRPr="00457FAC">
        <w:rPr>
          <w:sz w:val="16"/>
          <w:szCs w:val="16"/>
        </w:rPr>
        <w:t>енного</w:t>
      </w:r>
      <w:proofErr w:type="spellEnd"/>
      <w:r w:rsidRPr="00457FAC">
        <w:rPr>
          <w:sz w:val="16"/>
          <w:szCs w:val="16"/>
        </w:rPr>
        <w:t xml:space="preserve"> пункта по месту нахождения соответствующего филиала ПАО «МРСК Северо-Запада»</w:t>
      </w:r>
    </w:p>
  </w:footnote>
  <w:footnote w:id="2">
    <w:p w:rsidR="004A50D8" w:rsidRPr="00457FAC" w:rsidRDefault="004A50D8" w:rsidP="004A50D8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Если электроустановка вводится в эксплуатацию по этапам и очередям, год ввода в эксплуатацию указывается в отношении каждого этапа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7132C"/>
    <w:multiLevelType w:val="hybridMultilevel"/>
    <w:tmpl w:val="6E54E4C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A1EA8"/>
    <w:multiLevelType w:val="hybridMultilevel"/>
    <w:tmpl w:val="8CDC799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0D8"/>
    <w:rsid w:val="004A50D8"/>
    <w:rsid w:val="00862261"/>
    <w:rsid w:val="00B0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9BA11-74AD-4482-9B4C-E1BA54275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A50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4A50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4A50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1860</Words>
  <Characters>10602</Characters>
  <Application>Microsoft Office Word</Application>
  <DocSecurity>0</DocSecurity>
  <Lines>88</Lines>
  <Paragraphs>24</Paragraphs>
  <ScaleCrop>false</ScaleCrop>
  <Company/>
  <LinksUpToDate>false</LinksUpToDate>
  <CharactersWithSpaces>12438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Лысенкова Екатерина Николаевна</dc:creator>
  <cp:keywords/>
  <dc:description/>
  <cp:lastModifiedBy>Лысенкова Екатерина Николаевна</cp:lastModifiedBy>
  <cp:revision>1</cp:revision>
  <dcterms:created xsi:type="dcterms:W3CDTF">2020-10-02T07:43:00Z</dcterms:created>
  <dcterms:modified xsi:type="dcterms:W3CDTF">2020-10-02T07:46:00Z</dcterms:modified>
</cp:coreProperties>
</file>