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56" w:rsidRPr="00224A56" w:rsidRDefault="00224A56" w:rsidP="00224A56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</w:pP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Д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ля юридических и физических лиц, в том числе индивидуальных предпринимателей, в целях технологического присоединения </w:t>
      </w:r>
      <w:proofErr w:type="spellStart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>энергопринимающих</w:t>
      </w:r>
      <w:proofErr w:type="spellEnd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 устройств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/объектов электросетевого хозяйства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, максимальной мощностью 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не менее 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670 кВт (с учетом ранее присоединенных в данной точке присоединения </w:t>
      </w:r>
      <w:proofErr w:type="spellStart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>энергопринимающих</w:t>
      </w:r>
      <w:proofErr w:type="spellEnd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 устройств/объектов электросетевого хозяйства)</w:t>
      </w:r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 и менее 5 МВт (без учета ранее присоединенных в данной точке присоединения </w:t>
      </w:r>
      <w:proofErr w:type="spellStart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энергопринимающих</w:t>
      </w:r>
      <w:proofErr w:type="spellEnd"/>
      <w:r w:rsidRPr="00224A56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 устройств/объектов электросетевого хозяйства), в том числе если технологическое присоединение производится посредством перераспределения максимальной мощности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___ к договору 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присоединения к электрическим сетям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56" w:rsidRPr="00224A56" w:rsidRDefault="00224A56" w:rsidP="00224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224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224A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224A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20___ г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A5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A5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 - для юридического лица;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A5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- для индивидуального предпринимателя и физического лица)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(или) объектов электроэнергетики (далее – электроустановка) Заявителя: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и место нахождения объектов, в целях электроснабжения которых осуществляется технологическое присоединение электроустановки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аявителя: 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Максимальная мощность присоединяемых электроустановок Заявителя составляет ____ кВт</w:t>
      </w:r>
      <w:r w:rsidRPr="00224A5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в том числе: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Courier New"/>
          <w:sz w:val="24"/>
          <w:szCs w:val="24"/>
          <w:lang w:eastAsia="ru-RU"/>
        </w:rPr>
        <w:t>м</w:t>
      </w:r>
      <w:r w:rsidRPr="00224A5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аксимальная мощность ранее присоединенных электроустановок Заявителя ___ кВт;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максимальная мощность вновь присоединяемых электроустановок Заявителя ____ кВт (из них: на 1 (первом) этапе – ___ кВт, на 2 (втором) этапе – ___ кВт).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надежности электроснабжения – ____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(первом) этапе – ___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 (втором) этапе –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 напряжения электрических сетей, к которым осуществляется технологическое присоединение __ (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4A5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1 (первом) этапе – 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 (втором) этапе – 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ввода в эксплуатацию электроустановок Заявителя</w:t>
      </w:r>
      <w:r w:rsidRPr="00224A5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 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1 (пе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рвом) этапе – 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__,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 (втором) этапе – ____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13"/>
        <w:gridCol w:w="1984"/>
        <w:gridCol w:w="1276"/>
        <w:gridCol w:w="1701"/>
        <w:gridCol w:w="1418"/>
      </w:tblGrid>
      <w:tr w:rsidR="00224A56" w:rsidRPr="00224A56" w:rsidTr="00224A56">
        <w:trPr>
          <w:trHeight w:val="470"/>
        </w:trPr>
        <w:tc>
          <w:tcPr>
            <w:tcW w:w="993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2013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984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6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701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</w:t>
            </w:r>
          </w:p>
        </w:tc>
        <w:tc>
          <w:tcPr>
            <w:tcW w:w="1418" w:type="dxa"/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224A56" w:rsidRPr="00224A56" w:rsidTr="00224A56">
        <w:trPr>
          <w:trHeight w:val="30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224A56" w:rsidRPr="00224A56" w:rsidTr="00224A56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4A56" w:rsidRPr="00224A56" w:rsidTr="00224A56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4A56" w:rsidRPr="00224A56" w:rsidTr="00224A56">
        <w:trPr>
          <w:trHeight w:val="30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4A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224A56" w:rsidRPr="00224A56" w:rsidTr="00224A56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4A56" w:rsidRPr="00224A56" w:rsidTr="00224A56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6" w:rsidRPr="00224A56" w:rsidRDefault="00224A56" w:rsidP="00224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Основной источник 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224A5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224A5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Резервный источник 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224A5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224A5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Присоединяемая мощность силовых трансформаторов: ___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1 (первом) этапе – ___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(втором) этапе – ___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Характеристика электрической нагрузки: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Объем аварийной и технологической брони: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Требования к электрической сети.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13.1.2. Новое строительство: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Требования к устройствам релейной защиты и автоматики (включая противоаварийную и режимную автоматику):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13.2.2. Новое строительство: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13.2.3. Разработать проект реконструкции или изменения параметров настройки устройств РЗА в прилегающей сети в связи с подключением к ней нового оборудования подстанций, ЛЭП.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13.2.4. На присоединениях новых ЛЭП и оборудовании подстанций применить цифровые устройства РЗА.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13.2.5. Обеспечить интеграцию применяемых устройств РЗА в систему АСУ ТП ПС, ОИК производственного отделения «______» «_____» филиала ПАО «МРСК Северо-Запада» с организацией удалённых АРМ.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13.2.6. Устройства РЗА должны обеспечивать свою работу при частоте 45,0 – 55,0 Гц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Требования по учету электрической энергии, организации системы АИИСКУЭ и устройствам, обеспечивающим контроль величины максимальной мощности.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13.3.1. Развитие существующих объектов Сетевой организации: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13.3.2. Новое строительство: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13.3.3. Учет электроэнергии по присоединяемым ЛЭП___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ПС____ выполнить:</w:t>
      </w:r>
    </w:p>
    <w:p w:rsidR="00224A56" w:rsidRPr="00224A56" w:rsidRDefault="00224A56" w:rsidP="00224A5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Типовой инструкции по учету электроэнергии при ее производстве, передаче и распределении (РД 34.09.101-94);</w:t>
      </w:r>
    </w:p>
    <w:p w:rsidR="00224A56" w:rsidRPr="00224A56" w:rsidRDefault="00224A56" w:rsidP="00224A5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положениями функционирования розничных рынков электрической энергии, утвержденными постановлением Правительства РФ от 04.05.2012 № 442;</w:t>
      </w:r>
    </w:p>
    <w:p w:rsidR="00224A56" w:rsidRPr="00224A56" w:rsidRDefault="00224A56" w:rsidP="00224A5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Постановления Правительства Российской Федерации от 19.06.2020 № 890 «О порядке предоставления доступа к минимальному набору функций интеллектуальных систем учета электрической энергии (мощности)»;</w:t>
      </w:r>
    </w:p>
    <w:p w:rsidR="00224A56" w:rsidRPr="00224A56" w:rsidRDefault="00224A56" w:rsidP="00224A5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учета электроэнергии определить: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13.3.4. Интегрировать автоматизированную информационно-измерительную систему коммерческого учета электроэнергии (АИИС КУЭ) на ПС ____ по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соединениям _____, в АИИС КУЭ 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филиала ПАО «МРСК Северо-Запада» и филиала ПАО «ФСК ЕЭС»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МЭС ___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 (при необходимости), предусмотрев требования по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качества не ниже ____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13.3.5. Предусмотреть организацию ежедневной передачи результатов измерения, информации о состоянии средств измерения и объектов измерения из АИИС КУЭ ПС ____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ЦУС __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 по всем точкам учета.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Требования к 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  диспетчерского</w:t>
      </w:r>
      <w:proofErr w:type="gram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технологического управления (СДТУ).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13.4.1.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13.4.2. Новое строительство: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Иные мероприятия по присоединению новой мощности (в том числе для организации временного энергоснабжения)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Предусмотреть в проекте Сетевой компании: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осуществляет: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Мероприятия по организации схемы приема мощност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и: __________________________</w:t>
      </w:r>
    </w:p>
    <w:p w:rsidR="00224A56" w:rsidRPr="00224A56" w:rsidRDefault="00224A56" w:rsidP="00224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Требования к устройствам релейной защиты и автоматики: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14.2.1. Применить цифровые устройства РЗА. Выполнить схемы организации РЗА, провести выбор необходимых защит и выполнить расчет параметров настройки устройств.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14.2.2. Предусмотреть устройства автоматического отключения приёмников электроэнергии (не ниже уровня аварийной или технологической брони) при снижении частоты или напряжения в прилегающей электрической сети, а также, по командам устройств противоаварийной автоматики.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Контроль и поддержание качества электроэнергии. Требования по компенсации реактивной мощности: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14.3.1. Обеспечить на границе балансовой принадлежности предельное значение коэффициента реактивной мощности не более, чем установлено приказом Минэнерго РФ от 23.06.2015 № 380.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14.3.2. Уточнить проектом контрольные точки, в которых при наличии претензий какой-либо из сторон договора будет проводиться проверка соблюдения установленных требований к качеству электроэнергии (ГОСТ 33073-2014).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14.3.3. Определить проектом допустимые отклонения напряжения в контрольных точках с учетом потерь напряжения в собственных сетях Заявителя в режимах максимальных и минимальных нагрузок.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14.3.4. При установке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будут ухудшать качество электрической энергии на границе балансовой принадлежности (например,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электроприемники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резкопеременную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несимметричную нагрузку, или нагрузку, которая будет служить источником высших гармоник) предусмотреть установку Заявителем устройств, компенсирующих вносимые искажения (конденсаторные батареи или реакторы с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тиристорным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управлением, конденсаторные батареи с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пофазным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управлением, фильтры высших гармоник).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14.3.5. При установке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ухудшать качество электрической энергии, определить проектом периодичность контроля Заявителем качества электрической энергии в собственных сетях (ГОСТ 32144-2013).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Иные мероприятия для организации схемы приема мощности (в том числе для организации временного энергоснабжения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4A5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4"/>
      </w:r>
      <w:r w:rsidRPr="00224A5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>,</w:t>
      </w:r>
      <w:r w:rsidRPr="00224A5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5"/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Указания к проектированию сети Заявителя.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14.5.1.</w:t>
      </w:r>
      <w:r w:rsidRPr="00224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проектирование сети Заявителя, типы применяемого оборудования и готовый проект согласовать с «______» филиалом ПАО «МРСК Северо-Запада» и иными уполномоченными организациями на соответствующих стадиях инвестиционного процесса.</w:t>
      </w:r>
    </w:p>
    <w:p w:rsidR="00224A56" w:rsidRPr="00224A56" w:rsidRDefault="00224A56" w:rsidP="00224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14.5.2. При проектировании обеспечить выполнение 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(ПТФ, ПУЭ, ПТЭ, ППБ, ПОТРМ, НТП и др.)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точке присоединения Заявитель, исходя из заявленной нагрузки, параметров сетей, сообщает Сетевой организации необходимые данные для выбора коммутационной аппаратуры и ее защитных характеристик.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14.5.3. Проект должен содержать разделы в соответствии с Положением о составе разделов проектной документации и требованиях к их содержанию, утвержденных Постановлением Правительства РФ от 16.02.2008 № 87, в том числе раздел «Система электроснабжения», предусматривающий: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14.5.3.1. Разработку схемы электроснабжения объекта. Выполнение расчетов нормальных, ремонтных и аварийных режимов электроснабжения. Определение в этих режимах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перетоков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и реактивной мощности, проверку обеспечения необходимых уровней напряжения, компенсацию реактивной мощности.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14.5.3.2. Разработку перечня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отключены устройствами противоаварийной и режимной автоматики.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14.5.3.3. Анализ схем внутреннего и внешнего электроснабжения, с учетом действия автоматических устройств, подтверждающий соответствие надежности электроснабжения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категории, заявленной потребителем.</w:t>
      </w:r>
    </w:p>
    <w:p w:rsidR="00224A56" w:rsidRPr="00224A56" w:rsidRDefault="00224A56" w:rsidP="00224A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14.5.3.4. Пояснительную записку по системе РЗА, включающую: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распределения устройств РЗА по трансформаторам тока и напряжения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обоснование выбора типов устройств РЗА.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и выбор всех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уставок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РЗА.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погрешностей измерительных трансформаторов, потерь во вторичных цепях ТН.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параметров срабатывания защитных аппаратов цепей собственных нужд и оперативного тока.</w:t>
      </w:r>
    </w:p>
    <w:p w:rsidR="00224A56" w:rsidRPr="00224A56" w:rsidRDefault="00224A56" w:rsidP="004A0A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схемы цифровых устройств РЗА с описанием их работы и параметрами настройки элементов.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14.5.3.5. Обеспечение выполнения требований «Правил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автоматики», утвержденных приказом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Минпромэнерго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06.06.2013 года № 290.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14.5.3.6. Обеспечение выполнения требований ГОСТ 32144-2013 «Нормы качества электрической энергии в системе электроснабжения общего назначения» в отношении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установок Заявителя, требований стандарта качества электроэнергии (КЭ) в точках общего присоединения (ТОП). Проектная документация на присоединение потребителя к сети, представляемая на согласование «_______» филиалу ПАО «МРСК Северо-Запада», должна содержать раздел по качеству электроэнергии (КЭ) и перечень всех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влияющих на КЭ, с указанием их доли от расчетной максимальной нагрузки и обоснованиями, подтверждающими выполнение требований ГОСТ 32144-2013 по установившемуся отклонению напряжения в центре питания и на зажимах характерных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 и другим показателям.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14.5.3.7. При наличии у Заявителя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влияющих на качество электроэнергии в ТОП, проектом разработать соответствующие мероприятия, обеспечивающие соответствие параметров КЭ требованиям ГОСТ 32144-2013. Для собственных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к КЭ выше, чем установлено ГОСТ 32144-2013, при необходимости, должна быть организована защита с применением необходимых технических средств.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14.5.3.8. Организация строительства.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14.5.3.9. Организация эксплуатации.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Получить от ПАО «МРСК Северо-Запада» акт о выполнении технических условий.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Фактическое присоединение объекта и фактическую подачу (прием) напряжения (мощности) выполнить после выдачи органом </w:t>
      </w:r>
      <w:proofErr w:type="spell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допуска, готовности объекта к включению и предоставления копии допуска в Сетевую организацию.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Срок действия данных технических условий – ___ года </w:t>
      </w:r>
      <w:proofErr w:type="gramStart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 дня</w:t>
      </w:r>
      <w:proofErr w:type="gramEnd"/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заключения договора об осуществлении технологического присоединения к электрическим сетям.</w:t>
      </w:r>
    </w:p>
    <w:p w:rsidR="00224A56" w:rsidRPr="00224A56" w:rsidRDefault="00224A56" w:rsidP="00224A5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4A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4A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224A56" w:rsidRPr="00224A56" w:rsidRDefault="00224A56" w:rsidP="00224A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4A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862261" w:rsidRDefault="00224A56" w:rsidP="00224A56">
      <w:r w:rsidRPr="00224A5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sectPr w:rsidR="0086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E8" w:rsidRDefault="001F72E8" w:rsidP="00224A56">
      <w:pPr>
        <w:spacing w:after="0" w:line="240" w:lineRule="auto"/>
      </w:pPr>
      <w:r>
        <w:separator/>
      </w:r>
    </w:p>
  </w:endnote>
  <w:endnote w:type="continuationSeparator" w:id="0">
    <w:p w:rsidR="001F72E8" w:rsidRDefault="001F72E8" w:rsidP="0022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E8" w:rsidRDefault="001F72E8" w:rsidP="00224A56">
      <w:pPr>
        <w:spacing w:after="0" w:line="240" w:lineRule="auto"/>
      </w:pPr>
      <w:r>
        <w:separator/>
      </w:r>
    </w:p>
  </w:footnote>
  <w:footnote w:type="continuationSeparator" w:id="0">
    <w:p w:rsidR="001F72E8" w:rsidRDefault="001F72E8" w:rsidP="00224A56">
      <w:pPr>
        <w:spacing w:after="0" w:line="240" w:lineRule="auto"/>
      </w:pPr>
      <w:r>
        <w:continuationSeparator/>
      </w:r>
    </w:p>
  </w:footnote>
  <w:footnote w:id="1">
    <w:p w:rsidR="00224A56" w:rsidRPr="00457FAC" w:rsidRDefault="00224A56" w:rsidP="00224A56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«МРСК Северо-Запада»</w:t>
      </w:r>
    </w:p>
  </w:footnote>
  <w:footnote w:id="2">
    <w:p w:rsidR="00224A56" w:rsidRPr="00457FAC" w:rsidRDefault="00224A56" w:rsidP="00224A56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указывается поэтапное распределение мощности</w:t>
      </w:r>
    </w:p>
  </w:footnote>
  <w:footnote w:id="3">
    <w:p w:rsidR="00224A56" w:rsidRPr="00457FAC" w:rsidRDefault="00224A56" w:rsidP="00224A56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  <w:footnote w:id="4">
    <w:p w:rsidR="00224A56" w:rsidRPr="00457FAC" w:rsidRDefault="00224A56" w:rsidP="00224A56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случаях присоединения электроустановок особой категории первой категории надежности при оформлении ТУ учесть мероприятия, предусмотренные требованиями п.25е) Правил ТП.</w:t>
      </w:r>
    </w:p>
  </w:footnote>
  <w:footnote w:id="5">
    <w:p w:rsidR="00224A56" w:rsidRPr="00457FAC" w:rsidRDefault="00224A56" w:rsidP="00224A56">
      <w:pPr>
        <w:pStyle w:val="ConsPlusNonformat"/>
        <w:widowControl/>
        <w:tabs>
          <w:tab w:val="left" w:pos="2910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57FAC">
        <w:rPr>
          <w:rStyle w:val="a5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 w:cs="Times New Roman"/>
          <w:sz w:val="16"/>
          <w:szCs w:val="16"/>
        </w:rPr>
        <w:t xml:space="preserve"> </w:t>
      </w:r>
      <w:r w:rsidRPr="00457FAC">
        <w:rPr>
          <w:rFonts w:ascii="Times New Roman" w:hAnsi="Times New Roman" w:cs="Times New Roman"/>
          <w:sz w:val="16"/>
          <w:szCs w:val="16"/>
          <w:lang w:eastAsia="en-US"/>
        </w:rPr>
        <w:t>В случае технологического присоединения электроустановок,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садоводства, предусмотреть мероприятия по обеспечению возможности введения ограничения режима потребления Заявителя при обеспечении поставки электрической энергии другим потребителям без ограничения режима их потребления.</w:t>
      </w:r>
    </w:p>
    <w:p w:rsidR="00224A56" w:rsidRPr="00457FAC" w:rsidRDefault="00224A56" w:rsidP="00224A56">
      <w:pPr>
        <w:pStyle w:val="a3"/>
        <w:contextualSpacing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132C"/>
    <w:multiLevelType w:val="hybridMultilevel"/>
    <w:tmpl w:val="6E54E4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1EA8"/>
    <w:multiLevelType w:val="hybridMultilevel"/>
    <w:tmpl w:val="8CDC79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56"/>
    <w:rsid w:val="001F72E8"/>
    <w:rsid w:val="00224A56"/>
    <w:rsid w:val="004A0AC6"/>
    <w:rsid w:val="008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3B07A-6451-4D1B-908B-5D30EF3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24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24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224A56"/>
    <w:rPr>
      <w:vertAlign w:val="superscript"/>
    </w:rPr>
  </w:style>
  <w:style w:type="paragraph" w:customStyle="1" w:styleId="ConsPlusNonformat">
    <w:name w:val="ConsPlusNonformat"/>
    <w:uiPriority w:val="99"/>
    <w:rsid w:val="00224A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Лысенкова Екатерина Николаевна</cp:lastModifiedBy>
  <cp:revision>1</cp:revision>
  <dcterms:created xsi:type="dcterms:W3CDTF">2020-10-02T07:12:00Z</dcterms:created>
  <dcterms:modified xsi:type="dcterms:W3CDTF">2020-10-02T07:42:00Z</dcterms:modified>
</cp:coreProperties>
</file>